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Researched and documented complex state and local tax issues and positions, leveraging advanced analytical skills to develop defensible positions in preparation for audit inquiries.</w:t>
        <w:br/>
      </w:r>
    </w:p>
    <w:p>
      <w:r>
        <w:rPr>
          <w:rFonts w:ascii="Times New Roman" w:hAnsi="Times New Roman"/>
          <w:sz w:val="20"/>
        </w:rPr>
        <w:br/>
        <w:t>• Prepared and analyzed data in response to Information Document Requests (IDRs) by developing robust data extraction and validation processes using Python and SQL, ensuring accuracy and completeness.</w:t>
        <w:br/>
      </w:r>
    </w:p>
    <w:p>
      <w:r>
        <w:rPr>
          <w:rFonts w:ascii="Times New Roman" w:hAnsi="Times New Roman"/>
          <w:sz w:val="20"/>
        </w:rPr>
        <w:br/>
        <w:t>• Drove process improvement and automation initiatives by designing and implementing Python-based ETL pipelines and reporting workflows, reducing manual data entry and improving efficiency.</w:t>
        <w:br/>
      </w:r>
    </w:p>
    <w:p>
      <w:r>
        <w:rPr>
          <w:rFonts w:ascii="Times New Roman" w:hAnsi="Times New Roman"/>
          <w:sz w:val="20"/>
        </w:rPr>
        <w:br/>
        <w:t>• Led and assisted with special projects by applying advanced analytical techniques to investigate financial data, identify trends, and provide data-driven recommendations for improved controllership.</w:t>
        <w:br/>
      </w:r>
    </w:p>
    <w:p>
      <w:r>
        <w:rPr>
          <w:rFonts w:ascii="Times New Roman" w:hAnsi="Times New Roman"/>
          <w:sz w:val="20"/>
        </w:rPr>
        <w:br/>
        <w:t>• Collaborated with cross-functional teams, including tax planning and compliance, to coordinate on audit matters and process improvements, facilitating data-driven decision-making and aligning business objectives.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