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tests and observational studies, applying causal inference methodologies to isolate campaign lift and measure the incremental impact of marketing interventions.</w:t>
        <w:br/>
      </w:r>
    </w:p>
    <w:p>
      <w:r>
        <w:rPr>
          <w:rFonts w:ascii="Times New Roman" w:hAnsi="Times New Roman"/>
          <w:sz w:val="20"/>
        </w:rPr>
        <w:br/>
        <w:t>• Led model backtesting frameworks and performance validation experiments to ensure statistical rigor before deploying new buying algorithms into production environments.</w:t>
        <w:br/>
      </w:r>
    </w:p>
    <w:p>
      <w:r>
        <w:rPr>
          <w:rFonts w:ascii="Times New Roman" w:hAnsi="Times New Roman"/>
          <w:sz w:val="20"/>
        </w:rPr>
        <w:br/>
        <w:t>• Mentored junior team members on SQL optimization and Python best practices, driving a culture of technical excellence and shared accountability for project outcomes.</w:t>
        <w:br/>
      </w:r>
    </w:p>
    <w:p>
      <w:r>
        <w:rPr>
          <w:rFonts w:ascii="Times New Roman" w:hAnsi="Times New Roman"/>
          <w:sz w:val="20"/>
        </w:rPr>
        <w:br/>
        <w:t>• Collaborated with engineering teams to integrate large-scale data workflows, ensuring model reliability and performance consistency within production-grade machine learning pipelines.</w:t>
        <w:br/>
      </w:r>
    </w:p>
    <w:p>
      <w:r>
        <w:rPr>
          <w:rFonts w:ascii="Times New Roman" w:hAnsi="Times New Roman"/>
          <w:sz w:val="20"/>
        </w:rPr>
        <w:br/>
        <w:t>• Leveraged advanced statistical modeling to analyze feature interactions, providing actionable insights into cost and buying scenarios while mentoring peers on interpreting model triggers.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