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Finance and HR departments to streamline recruitment pipelines and align departmental budgeting, ensuring accurate expense tracking and resource allocation.</w:t>
        <w:br/>
      </w:r>
    </w:p>
    <w:p>
      <w:r>
        <w:rPr>
          <w:rFonts w:ascii="Times New Roman" w:hAnsi="Times New Roman"/>
          <w:sz w:val="20"/>
        </w:rPr>
        <w:br/>
        <w:t>• Coordinated end-to-end logistics for large-scale corporate offsites and global team meetings, including space planning and office reconfigurations to optimize team collaboration.</w:t>
        <w:br/>
      </w:r>
    </w:p>
    <w:p>
      <w:r>
        <w:rPr>
          <w:rFonts w:ascii="Times New Roman" w:hAnsi="Times New Roman"/>
          <w:sz w:val="20"/>
        </w:rPr>
        <w:br/>
        <w:t>• Served as the primary liaison for facility management, executing successful office moves and physical space planning to support evolving business unit needs.</w:t>
        <w:br/>
      </w:r>
    </w:p>
    <w:p>
      <w:r>
        <w:rPr>
          <w:rFonts w:ascii="Times New Roman" w:hAnsi="Times New Roman"/>
          <w:sz w:val="20"/>
        </w:rPr>
        <w:br/>
        <w:t>• Collaborated cross-functionally with Finance and HR leadership to onboard new hires and maintain compliance with company-wide administrative protocols.</w:t>
        <w:br/>
      </w:r>
    </w:p>
    <w:p>
      <w:r>
        <w:rPr>
          <w:rFonts w:ascii="Times New Roman" w:hAnsi="Times New Roman"/>
          <w:sz w:val="20"/>
        </w:rPr>
        <w:br/>
        <w:t>• Facilitated complex scheduling and event logistics for international leadership teams, managing high-stakes meetings and offsite morale-building activities.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