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maintained automated reporting workflows using Excel and VBA macros to track operational KPIs, ensuring 100% data accuracy for stakeholder review.</w:t>
        <w:br/>
      </w:r>
    </w:p>
    <w:p>
      <w:r>
        <w:rPr>
          <w:rFonts w:ascii="Times New Roman" w:hAnsi="Times New Roman"/>
          <w:sz w:val="20"/>
        </w:rPr>
        <w:br/>
        <w:t>• Collaborated on audit initiatives by preparing detailed SOX reporting documentation, identifying process gaps, and proposing data-driven corrective actions to leadership.</w:t>
        <w:br/>
      </w:r>
    </w:p>
    <w:p>
      <w:r>
        <w:rPr>
          <w:rFonts w:ascii="Times New Roman" w:hAnsi="Times New Roman"/>
          <w:sz w:val="20"/>
        </w:rPr>
        <w:br/>
        <w:t>• Performed extensive root cause analysis on operational defect trends, translating complex dataset findings into actionable insights for cross-functional quality improvement teams.</w:t>
        <w:br/>
      </w:r>
    </w:p>
    <w:p>
      <w:r>
        <w:rPr>
          <w:rFonts w:ascii="Times New Roman" w:hAnsi="Times New Roman"/>
          <w:sz w:val="20"/>
        </w:rPr>
        <w:br/>
        <w:t>• Leveraged data storytelling and advanced visualization techniques to present complex defect metrics to leadership, facilitating informed decision-making on process standards.</w:t>
        <w:br/>
      </w:r>
    </w:p>
    <w:p>
      <w:r>
        <w:rPr>
          <w:rFonts w:ascii="Times New Roman" w:hAnsi="Times New Roman"/>
          <w:sz w:val="20"/>
        </w:rPr>
        <w:br/>
        <w:t>• Utilized cloud-based data warehousing environments (similar to AWS architecture) to extract and clean large-scale datasets, ensuring seamless integration for analytical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