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Standardized organizational KPIs and data governance frameworks, creating a consistent "single source of truth" for stakeholders and reducing report discrepancies, demonstrating a foundational understanding of data governance principles.</w:t>
        <w:br/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 (ingesting POS and CRM data), saving 8 hours per week and improving reporting accuracy for faster strategic decisions, which aligns with the need to support strategic Development Department projects.</w:t>
        <w:br/>
      </w:r>
    </w:p>
    <w:p>
      <w:r>
        <w:rPr>
          <w:rFonts w:ascii="Times New Roman" w:hAnsi="Times New Roman"/>
          <w:sz w:val="20"/>
        </w:rPr>
        <w:br/>
        <w:t>• Developed Power BI and Looker workflows to replace manual written reporting, reducing data mismatches and improving work efficiency by 40%, showcasing experience with BI tools for enhanced reporting.</w:t>
        <w:br/>
      </w:r>
    </w:p>
    <w:p>
      <w:r>
        <w:rPr>
          <w:rFonts w:ascii="Times New Roman" w:hAnsi="Times New Roman"/>
          <w:sz w:val="20"/>
        </w:rPr>
        <w:br/>
        <w:t>• Translated complex technical findings into business recommendations during stakeholder meetings to close the gap between raw data and growth strategy, highlighting strong stakeholder communication and translation skills.</w:t>
        <w:br/>
      </w:r>
    </w:p>
    <w:p>
      <w:r>
        <w:rPr>
          <w:rFonts w:ascii="Times New Roman" w:hAnsi="Times New Roman"/>
          <w:sz w:val="20"/>
        </w:rPr>
        <w:br/>
        <w:t>• Optimized relational database queries (CTEs, window functions, joins) to clean and reconcile testing data, improving data accuracy by 60%, demonstrating proficiency in SQL and data cleaning.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