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predictive machine learning models to analyze loan default risk, utilizing feature engineering to identify high-risk segments and support data-driven decisioning for portfolio management.</w:t>
        <w:br/>
      </w:r>
    </w:p>
    <w:p>
      <w:r>
        <w:rPr>
          <w:rFonts w:ascii="Times New Roman" w:hAnsi="Times New Roman"/>
          <w:sz w:val="20"/>
        </w:rPr>
        <w:br/>
        <w:t>• Developed and deployed end-to-end analytical solutions, ensuring production-ready code through rigorous model governance and documentation of data validation protocols.</w:t>
        <w:br/>
      </w:r>
    </w:p>
    <w:p>
      <w:r>
        <w:rPr>
          <w:rFonts w:ascii="Times New Roman" w:hAnsi="Times New Roman"/>
          <w:sz w:val="20"/>
        </w:rPr>
        <w:br/>
        <w:t>• Integrated Generative AI tools and LLMs into automated reporting workflows to synthesize complex unstructured data, enhancing the speed of actionable insights for executive stakeholders.</w:t>
        <w:br/>
      </w:r>
    </w:p>
    <w:p>
      <w:r>
        <w:rPr>
          <w:rFonts w:ascii="Times New Roman" w:hAnsi="Times New Roman"/>
          <w:sz w:val="20"/>
        </w:rPr>
        <w:br/>
        <w:t>• Applied experimental design and statistical optimization techniques to marketing datasets, directly contributing to a 300% increase in customer acquisition through targeted, high-impact campaigns.</w:t>
        <w:br/>
      </w:r>
    </w:p>
    <w:p>
      <w:r>
        <w:rPr>
          <w:rFonts w:ascii="Times New Roman" w:hAnsi="Times New Roman"/>
          <w:sz w:val="20"/>
        </w:rPr>
        <w:br/>
        <w:t>• Leveraged financial datasets to build scalable analytical workflows, providing the cross-functional team with clean, reliable data products to support commercial strategy and financial performance monitoring.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