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marketing to design and execute A/B testing on campaign variations, utilizing statistical modeling to determine performance significance and drive a 300% increase in customer acquisition.</w:t>
        <w:br/>
      </w:r>
    </w:p>
    <w:p>
      <w:r>
        <w:rPr>
          <w:rFonts w:ascii="Times New Roman" w:hAnsi="Times New Roman"/>
          <w:sz w:val="20"/>
        </w:rPr>
        <w:br/>
        <w:t>• Applied causal inference techniques to evaluate the impact of process automation on team efficiency, isolating variables to quantify a 25% improvement in operational throughput.</w:t>
        <w:br/>
      </w:r>
    </w:p>
    <w:p>
      <w:r>
        <w:rPr>
          <w:rFonts w:ascii="Times New Roman" w:hAnsi="Times New Roman"/>
          <w:sz w:val="20"/>
        </w:rPr>
        <w:br/>
        <w:t>• Leveraged experimental design principles to validate data models in the Lending Risk Portfolio Analysis project, ensuring robust identification of borrower risk factors.</w:t>
        <w:br/>
      </w:r>
    </w:p>
    <w:p>
      <w:r>
        <w:rPr>
          <w:rFonts w:ascii="Times New Roman" w:hAnsi="Times New Roman"/>
          <w:sz w:val="20"/>
        </w:rPr>
        <w:br/>
        <w:t>• Performed causal analysis on historical arrest datasets to distinguish between demographic patterns and intervention effectiveness, supporting data-informed policy recommendations.</w:t>
        <w:br/>
      </w:r>
    </w:p>
    <w:p>
      <w:r>
        <w:rPr>
          <w:rFonts w:ascii="Times New Roman" w:hAnsi="Times New Roman"/>
          <w:sz w:val="20"/>
        </w:rPr>
        <w:br/>
        <w:t>• Built predictive statistical models to forecast customer churn and platform usage, providing actionable insights for product roadmap prioritization.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