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marketing performance by designing and executing A/B testing frameworks to refine digital coupon effectiveness and improve campaign conversion rates.</w:t>
        <w:br/>
      </w:r>
    </w:p>
    <w:p>
      <w:r>
        <w:rPr>
          <w:rFonts w:ascii="Times New Roman" w:hAnsi="Times New Roman"/>
          <w:sz w:val="20"/>
        </w:rPr>
        <w:br/>
        <w:t>• Managed end-to-end campaign deployment, including setting up digital coupon workflows and coordinating shelf tag production to ensure seamless retail execution.</w:t>
        <w:br/>
      </w:r>
    </w:p>
    <w:p>
      <w:r>
        <w:rPr>
          <w:rFonts w:ascii="Times New Roman" w:hAnsi="Times New Roman"/>
          <w:sz w:val="20"/>
        </w:rPr>
        <w:br/>
        <w:t>• Applied shopper segmentation techniques to identify high-value demographics, directly supporting the delivery of personalized digital media marketing initiatives.</w:t>
        <w:br/>
      </w:r>
    </w:p>
    <w:p>
      <w:r>
        <w:rPr>
          <w:rFonts w:ascii="Times New Roman" w:hAnsi="Times New Roman"/>
          <w:sz w:val="20"/>
        </w:rPr>
        <w:br/>
        <w:t>• Leveraged data warehousing tools to track campaign metrics, specifically calculating iROAS and sales lift to drive actionable insights for CPG clients.</w:t>
        <w:br/>
      </w:r>
    </w:p>
    <w:p>
      <w:r>
        <w:rPr>
          <w:rFonts w:ascii="Times New Roman" w:hAnsi="Times New Roman"/>
          <w:sz w:val="20"/>
        </w:rPr>
        <w:br/>
        <w:t>• Collaborated with retail and account management teams to analyze industry-level data and inform media buying strategies that maximize client ROI.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