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maintained end-to-end Python-based data pipelines, integrating disparate API and SQL sources into unified schemas while enforcing robust data quality and content governance standards.</w:t>
        <w:br/>
      </w:r>
    </w:p>
    <w:p>
      <w:r>
        <w:rPr>
          <w:rFonts w:ascii="Times New Roman" w:hAnsi="Times New Roman"/>
          <w:sz w:val="20"/>
        </w:rPr>
        <w:br/>
        <w:t>• Managed Tableau Server environment, including user validation, permission management, and content governance to ensure secure, self-service access to critical analytics dashboards.</w:t>
        <w:br/>
      </w:r>
    </w:p>
    <w:p>
      <w:r>
        <w:rPr>
          <w:rFonts w:ascii="Times New Roman" w:hAnsi="Times New Roman"/>
          <w:sz w:val="20"/>
        </w:rPr>
        <w:br/>
        <w:t>• Engineered scalable ETL frameworks using Python and SQL to automate data processing for large-scale datasets, significantly reducing manual pipeline maintenance and enhancing data reliability.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translate complex business requirements into high-performance dashboards and data models, ensuring alignment with organizational KPIs.</w:t>
        <w:br/>
      </w:r>
    </w:p>
    <w:p>
      <w:r>
        <w:rPr>
          <w:rFonts w:ascii="Times New Roman" w:hAnsi="Times New Roman"/>
          <w:sz w:val="20"/>
        </w:rPr>
        <w:br/>
        <w:t>• Applied rigorous data modeling techniques and version control best practices to maintain pipeline stability, ensuring high-quality, audit-ready data delivery for executive financial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