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external vendor data (e.g., historical performance metrics) into centralized data warehouses, ensuring data integrity and consistency for investor reporting and due diligence.</w:t>
        <w:br/>
      </w:r>
    </w:p>
    <w:p>
      <w:r>
        <w:rPr>
          <w:rFonts w:ascii="Times New Roman" w:hAnsi="Times New Roman"/>
          <w:sz w:val="20"/>
        </w:rPr>
        <w:br/>
        <w:t>• Streamlined manual reporting workflows using Power Automate and Python, reducing report generation time by 20% and improving the accuracy of investor-facing deliverables.</w:t>
        <w:br/>
      </w:r>
    </w:p>
    <w:p>
      <w:r>
        <w:rPr>
          <w:rFonts w:ascii="Times New Roman" w:hAnsi="Times New Roman"/>
          <w:sz w:val="20"/>
        </w:rPr>
        <w:br/>
        <w:t>• Supported Master Data Management (MDM) initiatives by standardizing cross-functional KPIs, creating a 'single source of truth' that ensures data consistency across diverse financial reporting strategies.</w:t>
        <w:br/>
      </w:r>
    </w:p>
    <w:p>
      <w:r>
        <w:rPr>
          <w:rFonts w:ascii="Times New Roman" w:hAnsi="Times New Roman"/>
          <w:sz w:val="20"/>
        </w:rPr>
        <w:br/>
        <w:t>• Collaborated on sustainability data initiatives, applying analytical rigor to portfolio-level data collection and developing frameworks to support carbon accounting and emission reporting efforts.</w:t>
        <w:br/>
      </w:r>
    </w:p>
    <w:p>
      <w:r>
        <w:rPr>
          <w:rFonts w:ascii="Times New Roman" w:hAnsi="Times New Roman"/>
          <w:sz w:val="20"/>
        </w:rPr>
        <w:br/>
        <w:t>• Leveraged SQL and Power BI to translate complex raw data into actionable insights for high-stakes investor reporting, ensuring alignment with organizational transparency and ESG performance goals.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