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deployed serverless data processing solutions using Cloud Functions and Cloud Run to automate real-time event triggers and containerized microservices within GCP.</w:t>
        <w:br/>
      </w:r>
    </w:p>
    <w:p>
      <w:r>
        <w:rPr>
          <w:rFonts w:ascii="Times New Roman" w:hAnsi="Times New Roman"/>
          <w:sz w:val="20"/>
        </w:rPr>
        <w:br/>
        <w:t>• Engineered streaming data pipelines using Pub/Sub and Python to ingest high-velocity data, establishing the foundation for real-time analytics and downstream processing.</w:t>
        <w:br/>
      </w:r>
    </w:p>
    <w:p>
      <w:r>
        <w:rPr>
          <w:rFonts w:ascii="Times New Roman" w:hAnsi="Times New Roman"/>
          <w:sz w:val="20"/>
        </w:rPr>
        <w:br/>
        <w:t>• Optimized BigQuery performance and cost-efficiency by implementing materialized views, sophisticated partitioning/clustering strategies, and rigorous query tuning.</w:t>
        <w:br/>
      </w:r>
    </w:p>
    <w:p>
      <w:r>
        <w:rPr>
          <w:rFonts w:ascii="Times New Roman" w:hAnsi="Times New Roman"/>
          <w:sz w:val="20"/>
        </w:rPr>
        <w:br/>
        <w:t>• Strengthened data governance and security protocols by implementing fine-grained IAM roles, VPC Service Controls, and data encryption (CMEK) to ensure compliance with enterprise standards.</w:t>
        <w:br/>
      </w:r>
    </w:p>
    <w:p>
      <w:r>
        <w:rPr>
          <w:rFonts w:ascii="Times New Roman" w:hAnsi="Times New Roman"/>
          <w:sz w:val="20"/>
        </w:rPr>
        <w:br/>
        <w:t>• Leveraged Dataflow (Apache Beam) concepts to build scalable, distributed data processing jobs, transforming complex, large-scale datasets into clean, actionable business intelligence.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