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senior leadership including the CEO, CFO, and COO to facilitate complex board meetings, ensuring all agendas and high-level materials were prepared and distributed with strict confidentiality.</w:t>
        <w:br/>
      </w:r>
    </w:p>
    <w:p>
      <w:r>
        <w:rPr>
          <w:rFonts w:ascii="Times New Roman" w:hAnsi="Times New Roman"/>
          <w:sz w:val="20"/>
        </w:rPr>
        <w:br/>
        <w:t>• Managed global travel logistics for executive team members, coordinating cross-border itineraries, visa applications, and last-minute schedule changes for international business development.</w:t>
        <w:br/>
      </w:r>
    </w:p>
    <w:p>
      <w:r>
        <w:rPr>
          <w:rFonts w:ascii="Times New Roman" w:hAnsi="Times New Roman"/>
          <w:sz w:val="20"/>
        </w:rPr>
        <w:br/>
        <w:t>• Collaborated cross-functionally with finance and legal departments to streamline expense reconciliation workflows, ensuring all reimbursements aligned with corporate compliance and internal documentation standards.</w:t>
        <w:br/>
      </w:r>
    </w:p>
    <w:p>
      <w:r>
        <w:rPr>
          <w:rFonts w:ascii="Times New Roman" w:hAnsi="Times New Roman"/>
          <w:sz w:val="20"/>
        </w:rPr>
        <w:br/>
        <w:t>• Provided strategic administrative support to portfolio company teams, acting as a liaison between external stakeholders and internal leadership to drive operational consistency.</w:t>
        <w:br/>
      </w:r>
    </w:p>
    <w:p>
      <w:r>
        <w:rPr>
          <w:rFonts w:ascii="Times New Roman" w:hAnsi="Times New Roman"/>
          <w:sz w:val="20"/>
        </w:rPr>
        <w:br/>
        <w:t>• Designed and implemented refined operational processes for executive workflow management, resulting in improved documentation standards and increased efficiency across all departmental cycles.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