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Expertly managed complex calendar scheduling across multiple time zones for C-suite executives, ensuring seamless coordination for international meetings and global operations.</w:t>
        <w:br/>
      </w:r>
    </w:p>
    <w:p>
      <w:r>
        <w:rPr>
          <w:rFonts w:ascii="Times New Roman" w:hAnsi="Times New Roman"/>
          <w:sz w:val="20"/>
        </w:rPr>
        <w:br/>
        <w:t>• Maintained robust digital e-filing systems for confidential corporate documentation, ensuring 100% compliance and rapid document retrieval for audit readiness.</w:t>
        <w:br/>
      </w:r>
    </w:p>
    <w:p>
      <w:r>
        <w:rPr>
          <w:rFonts w:ascii="Times New Roman" w:hAnsi="Times New Roman"/>
          <w:sz w:val="20"/>
        </w:rPr>
        <w:br/>
        <w:t>• Acted as a collaborative team player by providing reliable coverage for fellow Executive Assistants, ensuring continuous high-level support for firm leadership during absences.</w:t>
        <w:br/>
      </w:r>
    </w:p>
    <w:p>
      <w:r>
        <w:rPr>
          <w:rFonts w:ascii="Times New Roman" w:hAnsi="Times New Roman"/>
          <w:sz w:val="20"/>
        </w:rPr>
        <w:br/>
        <w:t>• Leveraged 10+ years of high-level administrative experience to proactively manage complex executive workflows, prioritizing agility and precision in fast-paced corporate environments.</w:t>
        <w:br/>
      </w:r>
    </w:p>
    <w:p>
      <w:r>
        <w:rPr>
          <w:rFonts w:ascii="Times New Roman" w:hAnsi="Times New Roman"/>
          <w:sz w:val="20"/>
        </w:rPr>
        <w:br/>
        <w:t>• Applied rigorous attention to detail when handling highly sensitive and confidential information, maintaining complete discretion in alignment with top-tier investment firm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