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Power BI semantic models by implementing DAX measures and calculated columns to streamline complex financial reporting.</w:t>
        <w:br/>
      </w:r>
    </w:p>
    <w:p>
      <w:r>
        <w:rPr>
          <w:rFonts w:ascii="Times New Roman" w:hAnsi="Times New Roman"/>
          <w:sz w:val="20"/>
        </w:rPr>
        <w:br/>
        <w:t>• Engineered Power BI relationships and optimized report performance, ensuring high-speed data delivery for cross-functional stakeholders.</w:t>
        <w:br/>
      </w:r>
    </w:p>
    <w:p>
      <w:r>
        <w:rPr>
          <w:rFonts w:ascii="Times New Roman" w:hAnsi="Times New Roman"/>
          <w:sz w:val="20"/>
        </w:rPr>
        <w:br/>
        <w:t>• Leveraged SQL Server and PostgreSQL to query enterprise data, performing data validation and reconciliation to maintain high accuracy across reporting layers.</w:t>
        <w:br/>
      </w:r>
    </w:p>
    <w:p>
      <w:r>
        <w:rPr>
          <w:rFonts w:ascii="Times New Roman" w:hAnsi="Times New Roman"/>
          <w:sz w:val="20"/>
        </w:rPr>
        <w:br/>
        <w:t>• Applied data warehousing principles to structure relational datasets, ensuring seamless integration of source systems into BI dashboards.</w:t>
        <w:br/>
      </w:r>
    </w:p>
    <w:p>
      <w:r>
        <w:rPr>
          <w:rFonts w:ascii="Times New Roman" w:hAnsi="Times New Roman"/>
          <w:sz w:val="20"/>
        </w:rPr>
        <w:br/>
        <w:t>• Documented data pipeline logic and reporting standards in Confluence to ensure scalable, maintainable BI solutions aligned with enterprise best practices.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