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Expertly managed complex travel arrangements and expense reporting utilizing Concur, ensuring 100% compliance with corporate travel policies for C-suite executives.</w:t>
        <w:br/>
      </w:r>
    </w:p>
    <w:p>
      <w:r>
        <w:rPr>
          <w:rFonts w:ascii="Times New Roman" w:hAnsi="Times New Roman"/>
          <w:sz w:val="20"/>
        </w:rPr>
        <w:br/>
        <w:t>• Provided high-level administrative support to Managing and Executive Directors, demonstrating the discretion and proactive decision-making required for high-stakes financial environments.</w:t>
        <w:br/>
      </w:r>
    </w:p>
    <w:p>
      <w:r>
        <w:rPr>
          <w:rFonts w:ascii="Times New Roman" w:hAnsi="Times New Roman"/>
          <w:sz w:val="20"/>
        </w:rPr>
        <w:br/>
        <w:t>• Maintained full availability for onsite operational requirements, including flexible scheduling and willingness to work overtime to meet critical deadlines and business objectives.</w:t>
        <w:br/>
      </w:r>
    </w:p>
    <w:p>
      <w:r>
        <w:rPr>
          <w:rFonts w:ascii="Times New Roman" w:hAnsi="Times New Roman"/>
          <w:sz w:val="20"/>
        </w:rPr>
        <w:br/>
        <w:t>• Streamlined executive workflows by managing complex calendars, coordinating high-volume meetings, and handling confidential correspondence with minimal supervision in fast-paced onsite environments.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