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Drafted functional requirements and process maps using Lucidchart and Visio to document end-to-end workflows, ensuring technical solutions aligned with operational needs.</w:t>
        <w:br/>
      </w:r>
    </w:p>
    <w:p>
      <w:r>
        <w:rPr>
          <w:rFonts w:ascii="Times New Roman" w:hAnsi="Times New Roman"/>
          <w:sz w:val="20"/>
        </w:rPr>
        <w:br/>
        <w:t>• Managed User Acceptance Testing (UAT) cycles by documenting feedback and tracking issues in JIRA, ensuring software features met stakeholder specifications prior to deployment.</w:t>
        <w:br/>
      </w:r>
    </w:p>
    <w:p>
      <w:r>
        <w:rPr>
          <w:rFonts w:ascii="Times New Roman" w:hAnsi="Times New Roman"/>
          <w:sz w:val="20"/>
        </w:rPr>
        <w:br/>
        <w:t>• Collaborated with project managers to track milestones and resource allocation, ensuring project lifecycles adhered to internal timelines and delivery schedules.</w:t>
        <w:br/>
      </w:r>
    </w:p>
    <w:p>
      <w:r>
        <w:rPr>
          <w:rFonts w:ascii="Times New Roman" w:hAnsi="Times New Roman"/>
          <w:sz w:val="20"/>
        </w:rPr>
        <w:br/>
        <w:t>• Prepared executive-level presentation materials using advanced PowerPoint features to translate complex data findings into actionable strategic recommendations.</w:t>
        <w:br/>
      </w:r>
    </w:p>
    <w:p>
      <w:r>
        <w:rPr>
          <w:rFonts w:ascii="Times New Roman" w:hAnsi="Times New Roman"/>
          <w:sz w:val="20"/>
        </w:rPr>
        <w:br/>
        <w:t>• Facilitated stakeholder communication through regular status reports and requirements workshops, ensuring cross-functional alignment on business goals.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