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decision-support tools to simulate operational scheduling scenarios, providing data-driven insights that improved fleet utilization efficiency and network reliability targets.</w:t>
        <w:br/>
      </w:r>
    </w:p>
    <w:p>
      <w:r>
        <w:rPr>
          <w:rFonts w:ascii="Times New Roman" w:hAnsi="Times New Roman"/>
          <w:sz w:val="20"/>
        </w:rPr>
        <w:br/>
        <w:t>• Partnered with cross-functional operations teams to integrate performance analytics into contingency planning, directly identifying and mitigating potential bottlenecks in capacity planning workflows.</w:t>
        <w:br/>
      </w:r>
    </w:p>
    <w:p>
      <w:r>
        <w:rPr>
          <w:rFonts w:ascii="Times New Roman" w:hAnsi="Times New Roman"/>
          <w:sz w:val="20"/>
        </w:rPr>
        <w:br/>
        <w:t>• Designed and governed operational dashboards to monitor adherence to scheduling rules and reliability targets, ensuring data-driven oversight for complex, multi-variable network operations.</w:t>
        <w:br/>
      </w:r>
    </w:p>
    <w:p>
      <w:r>
        <w:rPr>
          <w:rFonts w:ascii="Times New Roman" w:hAnsi="Times New Roman"/>
          <w:sz w:val="20"/>
        </w:rPr>
        <w:br/>
        <w:t>• Led the design and implementation of automated reporting suites for external stakeholders, translating complex technical network metrics into executive-level presentations that drove operational strategy.</w:t>
        <w:br/>
      </w:r>
    </w:p>
    <w:p>
      <w:r>
        <w:rPr>
          <w:rFonts w:ascii="Times New Roman" w:hAnsi="Times New Roman"/>
          <w:sz w:val="20"/>
        </w:rPr>
        <w:br/>
        <w:t>• Applied continuous improvement methodologies to optimize logistics workflows, reducing manual planning cycle times and enhancing resource allocation in high-stakes operational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