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robust data modeling strategies in PostgreSQL, defining complex schemas to support scalable KPI development and enterprise-wide reporting requirements.</w:t>
        <w:br/>
      </w:r>
    </w:p>
    <w:p>
      <w:r>
        <w:rPr>
          <w:rFonts w:ascii="Times New Roman" w:hAnsi="Times New Roman"/>
          <w:sz w:val="20"/>
        </w:rPr>
        <w:br/>
        <w:t>• Engineered scalable data pipelines on cloud platforms (Snowflake/BigQuery), ensuring high data accuracy and reliability for critical business intelligence initiatives.</w:t>
        <w:br/>
      </w:r>
    </w:p>
    <w:p>
      <w:r>
        <w:rPr>
          <w:rFonts w:ascii="Times New Roman" w:hAnsi="Times New Roman"/>
          <w:sz w:val="20"/>
        </w:rPr>
        <w:br/>
        <w:t>• Mentored junior team members on analytical best practices, fostering a high-performance culture that prioritized accurate KPI development and consistent reporting delivery.</w:t>
        <w:br/>
      </w:r>
    </w:p>
    <w:p>
      <w:r>
        <w:rPr>
          <w:rFonts w:ascii="Times New Roman" w:hAnsi="Times New Roman"/>
          <w:sz w:val="20"/>
        </w:rPr>
        <w:br/>
        <w:t>• Partnered with leadership to build comprehensive financial performance reports, providing actionable insights that directly supported revenue assurance and operational growth.</w:t>
        <w:br/>
      </w:r>
    </w:p>
    <w:p>
      <w:r>
        <w:rPr>
          <w:rFonts w:ascii="Times New Roman" w:hAnsi="Times New Roman"/>
          <w:sz w:val="20"/>
        </w:rPr>
        <w:br/>
        <w:t>• Leveraged Snowflake and BigQuery to warehouse large-scale transactional data, translating raw inputs into structured datasets for advanced business performance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