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10+ years of high-level C-Suite support experience to streamline operations for executive teams, ensuring 100% compliance with corporate financial regulations.</w:t>
        <w:br/>
      </w:r>
    </w:p>
    <w:p>
      <w:r>
        <w:rPr>
          <w:rFonts w:ascii="Times New Roman" w:hAnsi="Times New Roman"/>
          <w:sz w:val="20"/>
        </w:rPr>
        <w:br/>
        <w:t>• Utilized advanced proficiency in Microsoft Office Suite and Outlook to manage complex, high-stakes scheduling and financial budget monitoring in fast-paced corporate environments.</w:t>
        <w:br/>
      </w:r>
    </w:p>
    <w:p>
      <w:r>
        <w:rPr>
          <w:rFonts w:ascii="Times New Roman" w:hAnsi="Times New Roman"/>
          <w:sz w:val="20"/>
        </w:rPr>
        <w:br/>
        <w:t>• Successfully supported complex business initiatives while maintaining the highest level of discretion with confidential financial and personal data.</w:t>
        <w:br/>
      </w:r>
    </w:p>
    <w:p>
      <w:r>
        <w:rPr>
          <w:rFonts w:ascii="Times New Roman" w:hAnsi="Times New Roman"/>
          <w:sz w:val="20"/>
        </w:rPr>
        <w:br/>
        <w:t>• Committed to 5-day onsite operational excellence, bringing a track record of reliability and proactive problem-solving to the Greenwich office location.</w:t>
        <w:br/>
      </w:r>
    </w:p>
    <w:p>
      <w:r>
        <w:rPr>
          <w:rFonts w:ascii="Times New Roman" w:hAnsi="Times New Roman"/>
          <w:sz w:val="20"/>
        </w:rPr>
        <w:br/>
        <w:t>• Bridged administrative and analytical functions by applying data-driven reporting skills to monitor and reconcile departmental budgets and expense reports.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