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and maintained ETL/ELT pipelines using Python, SQL, and Airflow, demonstrating technical agility that facilitates a rapid transition to enterprise tools like Informatica.</w:t>
        <w:br/>
      </w:r>
    </w:p>
    <w:p>
      <w:r>
        <w:rPr>
          <w:rFonts w:ascii="Times New Roman" w:hAnsi="Times New Roman"/>
          <w:sz w:val="20"/>
        </w:rPr>
        <w:br/>
        <w:t>• Architected robust data lake storage solutions within GCP, managing data lineage and documentation to ensure high availability and compliance with data governance standards.</w:t>
        <w:br/>
      </w:r>
    </w:p>
    <w:p>
      <w:r>
        <w:rPr>
          <w:rFonts w:ascii="Times New Roman" w:hAnsi="Times New Roman"/>
          <w:sz w:val="20"/>
        </w:rPr>
        <w:br/>
        <w:t>• Deployed automated data quality checks with Great Expectations to ensure data integrity, aligning with enterprise-grade data governance and security frameworks.</w:t>
        <w:br/>
      </w:r>
    </w:p>
    <w:p>
      <w:r>
        <w:rPr>
          <w:rFonts w:ascii="Times New Roman" w:hAnsi="Times New Roman"/>
          <w:sz w:val="20"/>
        </w:rPr>
        <w:br/>
        <w:t>• Integrated machine learning principles into data projects by leveraging Python-based libraries to identify predictive patterns and automate decision-making processes.</w:t>
        <w:br/>
      </w:r>
    </w:p>
    <w:p>
      <w:r>
        <w:rPr>
          <w:rFonts w:ascii="Times New Roman" w:hAnsi="Times New Roman"/>
          <w:sz w:val="20"/>
        </w:rPr>
        <w:br/>
        <w:t>• Developed cross-platform data integrations using REST/GraphQL APIs, showcasing a strong foundation for managing complex system synchronizations in an Azure or multi-cloud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