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stakeholders as a consultant-style partner, translating ambiguous business requirements into technical specifications and production-ready code, while maintaining flexibility for travel and onsite client engagements.</w:t>
        <w:br/>
      </w:r>
    </w:p>
    <w:p>
      <w:r>
        <w:rPr>
          <w:rFonts w:ascii="Times New Roman" w:hAnsi="Times New Roman"/>
          <w:sz w:val="20"/>
        </w:rPr>
        <w:br/>
        <w:t>• Engineered scalable data processing workflows using Python and JavaScript (with exposure to TypeScript concepts), focusing on building end-to-end solutions that automate complex business logic.</w:t>
        <w:br/>
      </w:r>
    </w:p>
    <w:p>
      <w:r>
        <w:rPr>
          <w:rFonts w:ascii="Times New Roman" w:hAnsi="Times New Roman"/>
          <w:sz w:val="20"/>
        </w:rPr>
        <w:br/>
        <w:t>• Integrated modern AI-readiness into data pipelines by structuring clean, high-quality datasets in BigQuery, laying the foundation for future LLM application development.</w:t>
        <w:br/>
      </w:r>
    </w:p>
    <w:p>
      <w:r>
        <w:rPr>
          <w:rFonts w:ascii="Times New Roman" w:hAnsi="Times New Roman"/>
          <w:sz w:val="20"/>
        </w:rPr>
        <w:br/>
        <w:t>• Translated complex technical concepts into actionable insights for non-technical clients, fostering strong relationships through transparent communication and a focus on delivering measurable business value.</w:t>
        <w:br/>
      </w:r>
    </w:p>
    <w:p>
      <w:r>
        <w:rPr>
          <w:rFonts w:ascii="Times New Roman" w:hAnsi="Times New Roman"/>
          <w:sz w:val="20"/>
        </w:rPr>
        <w:br/>
        <w:t>• Leveraged experience in full-stack development and data engineering to build cross-functional applications, demonstrating the autonomy required to own 0-1 projects from conceptualization to deployment.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