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GA4 and web tracking pixels into data pipelines to monitor conversion funnels and user retention metrics, driving a 15% increase in feature adoption.</w:t>
        <w:br/>
      </w:r>
    </w:p>
    <w:p>
      <w:r>
        <w:rPr>
          <w:rFonts w:ascii="Times New Roman" w:hAnsi="Times New Roman"/>
          <w:sz w:val="20"/>
        </w:rPr>
        <w:br/>
        <w:t>• Led A/B testing and conversion rate optimization (CRO) initiatives, utilizing statistical modeling to validate product changes and lift user engagement.</w:t>
        <w:br/>
      </w:r>
    </w:p>
    <w:p>
      <w:r>
        <w:rPr>
          <w:rFonts w:ascii="Times New Roman" w:hAnsi="Times New Roman"/>
          <w:sz w:val="20"/>
        </w:rPr>
        <w:br/>
        <w:t>• Engineered automated dashboards using SQL and Power BI to analyze mobile app and web behavioral trends, identifying key drop-off points in the customer journey.</w:t>
        <w:br/>
      </w:r>
    </w:p>
    <w:p>
      <w:r>
        <w:rPr>
          <w:rFonts w:ascii="Times New Roman" w:hAnsi="Times New Roman"/>
          <w:sz w:val="20"/>
        </w:rPr>
        <w:br/>
        <w:t>• Partnered with product teams to implement instrumentation strategies in Mixpanel/Amplitude, ensuring accurate event tracking for product-led growth initiatives.</w:t>
        <w:br/>
      </w:r>
    </w:p>
    <w:p>
      <w:r>
        <w:rPr>
          <w:rFonts w:ascii="Times New Roman" w:hAnsi="Times New Roman"/>
          <w:sz w:val="20"/>
        </w:rPr>
        <w:br/>
        <w:t>• Conducted rigorous statistical analysis on user journey datasets to identify pain points and inform product-led decision-making for B2C digital experiences.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