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maintained high-scale, production-grade data pipelines using Python and Airflow, implementing automated alerting systems to proactively monitor data quality and reduce downtime.</w:t>
        <w:br/>
      </w:r>
    </w:p>
    <w:p>
      <w:r>
        <w:rPr>
          <w:rFonts w:ascii="Times New Roman" w:hAnsi="Times New Roman"/>
          <w:sz w:val="20"/>
        </w:rPr>
        <w:br/>
        <w:t>• Designed and implemented core data models and star schemas in BigQuery and Snowflake to facilitate client-facing reporting datasets and improve query performance for non-technical stakeholders.</w:t>
        <w:br/>
      </w:r>
    </w:p>
    <w:p>
      <w:r>
        <w:rPr>
          <w:rFonts w:ascii="Times New Roman" w:hAnsi="Times New Roman"/>
          <w:sz w:val="20"/>
        </w:rPr>
        <w:br/>
        <w:t>• Applied a startup-focused, high-ownership mindset to bridge the gap between engineering and operations, directly managing the full lifecycle of data infrastructure to ensure product-wide reliability.</w:t>
        <w:br/>
      </w:r>
    </w:p>
    <w:p>
      <w:r>
        <w:rPr>
          <w:rFonts w:ascii="Times New Roman" w:hAnsi="Times New Roman"/>
          <w:sz w:val="20"/>
        </w:rPr>
        <w:br/>
        <w:t>• Spearheaded the design of scalable data infrastructure, transforming raw API and relational database sources into structured models to support high-volume, real-time operational workflows.</w:t>
        <w:br/>
      </w:r>
    </w:p>
    <w:p>
      <w:r>
        <w:rPr>
          <w:rFonts w:ascii="Times New Roman" w:hAnsi="Times New Roman"/>
          <w:sz w:val="20"/>
        </w:rPr>
        <w:br/>
        <w:t>• Demonstrated technical versatility by leveraging foundational knowledge in Python and SQL to integrate diverse data services, effectively debugging complex system issues at the source.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