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reconciliation workflows to support internal credit risk and pricing approval processes, utilizing SQL and Python to accelerate business memo preparation by 25%.</w:t>
        <w:br/>
      </w:r>
    </w:p>
    <w:p>
      <w:r>
        <w:rPr>
          <w:rFonts w:ascii="Times New Roman" w:hAnsi="Times New Roman"/>
          <w:sz w:val="20"/>
        </w:rPr>
        <w:br/>
        <w:t>• Developed automated reporting pipelines to monitor working capital metrics and supply chain finance opportunities, providing actionable intelligence to senior stakeholders.</w:t>
        <w:br/>
      </w:r>
    </w:p>
    <w:p>
      <w:r>
        <w:rPr>
          <w:rFonts w:ascii="Times New Roman" w:hAnsi="Times New Roman"/>
          <w:sz w:val="20"/>
        </w:rPr>
        <w:br/>
        <w:t>• Engineered a dynamic dashboard to track the global corporate client pipeline, including trade finance instruments like Letters of Credit, improving data transparency for the sales team.</w:t>
        <w:br/>
      </w:r>
    </w:p>
    <w:p>
      <w:r>
        <w:rPr>
          <w:rFonts w:ascii="Times New Roman" w:hAnsi="Times New Roman"/>
          <w:sz w:val="20"/>
        </w:rPr>
        <w:br/>
        <w:t>• Leveraged advanced Excel modeling to calculate profitability metrics for receivables and payables finance programs, ensuring accurate P&amp;L reporting for high-value accounts.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streamline documentation and record retention for complex financial transactions, ensuring compliance with organizational protocols.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