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Managed executive T&amp;E expense claims and international travel logistics using Concur and similar expense management software, ensuring full compliance with corporate policies and international travel regulations.</w:t>
        <w:br/>
      </w:r>
    </w:p>
    <w:p>
      <w:r>
        <w:rPr>
          <w:rFonts w:ascii="Times New Roman" w:hAnsi="Times New Roman"/>
          <w:sz w:val="20"/>
        </w:rPr>
        <w:br/>
        <w:t>• Leverage bilingual fluency in Spanish to facilitate clear communication and professional coordination with international stakeholders, vendors, and clients across all levels of the organization.</w:t>
        <w:br/>
      </w:r>
    </w:p>
    <w:p>
      <w:r>
        <w:rPr>
          <w:rFonts w:ascii="Times New Roman" w:hAnsi="Times New Roman"/>
          <w:sz w:val="20"/>
        </w:rPr>
        <w:br/>
        <w:t>• Streamlined the end-to-end onboarding and offboarding process for new hires within a matrixed environment, coordinating cross-departmental equipment requests, system access, and security compliance.</w:t>
        <w:br/>
      </w:r>
    </w:p>
    <w:p>
      <w:r>
        <w:rPr>
          <w:rFonts w:ascii="Times New Roman" w:hAnsi="Times New Roman"/>
          <w:sz w:val="20"/>
        </w:rPr>
        <w:br/>
        <w:t>• Proactively managed complex international travel arrangements, including visa processing and adherence to global travel compliance standards, for multiple C-suite executives.</w:t>
        <w:br/>
      </w:r>
    </w:p>
    <w:p>
      <w:r>
        <w:rPr>
          <w:rFonts w:ascii="Times New Roman" w:hAnsi="Times New Roman"/>
          <w:sz w:val="20"/>
        </w:rPr>
        <w:br/>
        <w:t>• Supported senior leadership in a large, matrixed organization by preparing high-level presentations and meeting materials, including expert-level document printing, binding, and distribution.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