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maintained data pipelines using Python and SQL, incorporating orchestration workflows to ensure reliable, automated data delivery and production-grade observability.</w:t>
        <w:br/>
      </w:r>
    </w:p>
    <w:p>
      <w:r>
        <w:rPr>
          <w:rFonts w:ascii="Times New Roman" w:hAnsi="Times New Roman"/>
          <w:sz w:val="20"/>
        </w:rPr>
        <w:br/>
        <w:t>• Established robust data quality guardrails and lineage tracking for loan portfolio datasets, ensuring the integrity and consistency of information flowing into production AI-enabled systems.</w:t>
        <w:br/>
      </w:r>
    </w:p>
    <w:p>
      <w:r>
        <w:rPr>
          <w:rFonts w:ascii="Times New Roman" w:hAnsi="Times New Roman"/>
          <w:sz w:val="20"/>
        </w:rPr>
        <w:br/>
        <w:t>• Designed and scaled cloud-based data platforms, leveraging PostgreSQL and BigQuery to build centralized, reliable sources of truth for cross-functional stakeholders.</w:t>
        <w:br/>
      </w:r>
    </w:p>
    <w:p>
      <w:r>
        <w:rPr>
          <w:rFonts w:ascii="Times New Roman" w:hAnsi="Times New Roman"/>
          <w:sz w:val="20"/>
        </w:rPr>
        <w:br/>
        <w:t>• Supported the deployment and monitoring of data-driven models by implementing versioning best practices and rigorous unit testing, ensuring scalable performance in production AI workflows.</w:t>
        <w:br/>
      </w:r>
    </w:p>
    <w:p>
      <w:r>
        <w:rPr>
          <w:rFonts w:ascii="Times New Roman" w:hAnsi="Times New Roman"/>
          <w:sz w:val="20"/>
        </w:rPr>
        <w:br/>
        <w:t>• Integrated disparate API and database sources into unified data structures, focusing on observability and system health monitoring to minimize latency in automated reporting processes.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