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production-grade ELT pipelines to ingest disparate datasets, performing longitudinal analysis on historical trends to support robust investment underwriting assumptions.</w:t>
        <w:br/>
      </w:r>
    </w:p>
    <w:p>
      <w:r>
        <w:rPr>
          <w:rFonts w:ascii="Times New Roman" w:hAnsi="Times New Roman"/>
          <w:sz w:val="20"/>
        </w:rPr>
        <w:br/>
        <w:t>• Engineered Python-based analytical frameworks to conduct sensitivity and scenario testing on portfolio performance data, quantifying the impact of market volatility on GP economics.</w:t>
        <w:br/>
      </w:r>
    </w:p>
    <w:p>
      <w:r>
        <w:rPr>
          <w:rFonts w:ascii="Times New Roman" w:hAnsi="Times New Roman"/>
          <w:sz w:val="20"/>
        </w:rPr>
        <w:br/>
        <w:t>• Built and refined cohort construction models using SQL and Python to analyze fund-level lifecycle performance, moving beyond surface-level metrics to identify key drivers of returns.</w:t>
        <w:br/>
      </w:r>
    </w:p>
    <w:p>
      <w:r>
        <w:rPr>
          <w:rFonts w:ascii="Times New Roman" w:hAnsi="Times New Roman"/>
          <w:sz w:val="20"/>
        </w:rPr>
        <w:br/>
        <w:t>• Synthesized complex datasets into actionable insights for senior leadership, translating raw data into defensible internal investment views and external thought-leadership commentary.</w:t>
        <w:br/>
      </w:r>
    </w:p>
    <w:p>
      <w:r>
        <w:rPr>
          <w:rFonts w:ascii="Times New Roman" w:hAnsi="Times New Roman"/>
          <w:sz w:val="20"/>
        </w:rPr>
        <w:br/>
        <w:t>• Partnered with data scientists to stress-test analytical methodologies against imperfect, multi-source datasets, ensuring high precision in all quantitative research and reporting outputs.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