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advanced Excel models utilizing VBA macros to automate complex sales reconciliation tasks, significantly reducing manual effort and improving data accuracy in high-pressure financial environments.</w:t>
        <w:br/>
      </w:r>
    </w:p>
    <w:p>
      <w:r>
        <w:rPr>
          <w:rFonts w:ascii="Times New Roman" w:hAnsi="Times New Roman"/>
          <w:sz w:val="20"/>
        </w:rPr>
        <w:br/>
        <w:t>• Integrated Salesforce CRM data with internal reporting platforms, leveraging familiarity with CRM analytical workflows to support data-driven decision-making for sales leadership.</w:t>
        <w:br/>
      </w:r>
    </w:p>
    <w:p>
      <w:r>
        <w:rPr>
          <w:rFonts w:ascii="Times New Roman" w:hAnsi="Times New Roman"/>
          <w:sz w:val="20"/>
        </w:rPr>
        <w:br/>
        <w:t>• Streamlined monthly sales data reconciliation processes by building automated ETL pipelines in SQL and Python, ensuring the integrity of reporting across multiple disparate systems.</w:t>
        <w:br/>
      </w:r>
    </w:p>
    <w:p>
      <w:r>
        <w:rPr>
          <w:rFonts w:ascii="Times New Roman" w:hAnsi="Times New Roman"/>
          <w:sz w:val="20"/>
        </w:rPr>
        <w:br/>
        <w:t>• Collaborated with stakeholders to document business requirements and data governance frameworks, translating complex technical datasets into actionable sales strategy recommendations.</w:t>
        <w:br/>
      </w:r>
    </w:p>
    <w:p>
      <w:r>
        <w:rPr>
          <w:rFonts w:ascii="Times New Roman" w:hAnsi="Times New Roman"/>
          <w:sz w:val="20"/>
        </w:rPr>
        <w:br/>
        <w:t>• Executed ad hoc analysis to track sales performance trends, creating interactive Tableau visualizations to provide senior leadership with transparent and reliable business insights.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