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cross-functional stakeholders to define data governance policies and maintain a data glossary, ensuring high-quality metadata management for all operational datasets.</w:t>
        <w:br/>
      </w:r>
    </w:p>
    <w:p>
      <w:r>
        <w:rPr>
          <w:rFonts w:ascii="Times New Roman" w:hAnsi="Times New Roman"/>
          <w:sz w:val="20"/>
        </w:rPr>
        <w:br/>
        <w:t>• Led data quality initiatives by performing root-cause analysis on recurring defects and collaborating with data owners to implement automated remediation controls.</w:t>
        <w:br/>
      </w:r>
    </w:p>
    <w:p>
      <w:r>
        <w:rPr>
          <w:rFonts w:ascii="Times New Roman" w:hAnsi="Times New Roman"/>
          <w:sz w:val="20"/>
        </w:rPr>
        <w:br/>
        <w:t>• Facilitated end-to-end data onboarding projects, ensuring all datasets were cataloged, certified, and aligned with enterprise data governance standards.</w:t>
        <w:br/>
      </w:r>
    </w:p>
    <w:p>
      <w:r>
        <w:rPr>
          <w:rFonts w:ascii="Times New Roman" w:hAnsi="Times New Roman"/>
          <w:sz w:val="20"/>
        </w:rPr>
        <w:br/>
        <w:t>• Managed data asset documentation and lineage tracking within internal knowledge repositories, equivalent to industry-standard tools like Collibra, to ensure trusted reuse for analytics.</w:t>
        <w:br/>
      </w:r>
    </w:p>
    <w:p>
      <w:r>
        <w:rPr>
          <w:rFonts w:ascii="Times New Roman" w:hAnsi="Times New Roman"/>
          <w:sz w:val="20"/>
        </w:rPr>
        <w:br/>
        <w:t>• Coordinated with technical teams to define Critical Data Elements (CDEs) and data certification requirements, streamlining the intake process for authoritative data sources (ADS).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