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for insurance testing data, performing data reconciliation to ensure accuracy and compliance with internal data governance controls.</w:t>
        <w:br/>
      </w:r>
    </w:p>
    <w:p>
      <w:r>
        <w:rPr>
          <w:rFonts w:ascii="Times New Roman" w:hAnsi="Times New Roman"/>
          <w:sz w:val="20"/>
        </w:rPr>
        <w:br/>
        <w:t>• Developed and maintained functional specifications for data reporting, ensuring alignment with regulatory reporting requirements and enterprise data standards.</w:t>
        <w:br/>
      </w:r>
    </w:p>
    <w:p>
      <w:r>
        <w:rPr>
          <w:rFonts w:ascii="Times New Roman" w:hAnsi="Times New Roman"/>
          <w:sz w:val="20"/>
        </w:rPr>
        <w:br/>
        <w:t>• Collaborated with IT and business units to implement data quality remediations at the database level, utilizing SQL to identify and resolve discrepancies in critical data elements (CDEs).</w:t>
        <w:br/>
      </w:r>
    </w:p>
    <w:p>
      <w:r>
        <w:rPr>
          <w:rFonts w:ascii="Times New Roman" w:hAnsi="Times New Roman"/>
          <w:sz w:val="20"/>
        </w:rPr>
        <w:br/>
        <w:t>• Streamlined data reporting processes by implementing standardized documentation and data lineage tracking, supporting organizational efforts in internal audit and compliance.</w:t>
        <w:br/>
      </w:r>
    </w:p>
    <w:p>
      <w:r>
        <w:rPr>
          <w:rFonts w:ascii="Times New Roman" w:hAnsi="Times New Roman"/>
          <w:sz w:val="20"/>
        </w:rPr>
        <w:br/>
        <w:t>• Applied data governance frameworks to automate reporting workflows, ensuring consistency in data delivery while supporting cross-departmental regulatory reporting efforts.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