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Developed robust data quality assurance standards and documentation for operational workflows, ensuring full compliance with internal requirements and regulatory contract standards.</w:t>
        <w:br/>
      </w:r>
    </w:p>
    <w:p>
      <w:r>
        <w:rPr>
          <w:rFonts w:ascii="Times New Roman" w:hAnsi="Times New Roman"/>
          <w:sz w:val="20"/>
        </w:rPr>
        <w:br/>
        <w:t>• Collaborated with fleet maintenance and operations teams to integrate telematics data into centralized dashboards, streamlining asset tracking and compliance reporting.</w:t>
        <w:br/>
      </w:r>
    </w:p>
    <w:p>
      <w:r>
        <w:rPr>
          <w:rFonts w:ascii="Times New Roman" w:hAnsi="Times New Roman"/>
          <w:sz w:val="20"/>
        </w:rPr>
        <w:br/>
        <w:t>• Managed cross-functional stakeholder communications to ensure operational activities aligned with stringent contract compliance and government reporting mandates.</w:t>
        <w:br/>
      </w:r>
    </w:p>
    <w:p>
      <w:r>
        <w:rPr>
          <w:rFonts w:ascii="Times New Roman" w:hAnsi="Times New Roman"/>
          <w:sz w:val="20"/>
        </w:rPr>
        <w:br/>
        <w:t>• Applied data-driven insights to monitor operational performance, effectively bridging the gap between business processes and public sector regulatory requirements.</w:t>
        <w:br/>
      </w:r>
    </w:p>
    <w:p>
      <w:r>
        <w:rPr>
          <w:rFonts w:ascii="Times New Roman" w:hAnsi="Times New Roman"/>
          <w:sz w:val="20"/>
        </w:rPr>
        <w:br/>
        <w:t>• Streamlined reporting hierarchies by standardizing data collection methods across departments, ensuring accurate, timely, and compliant information flow for executive audits.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