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inventory flow and replenishment processes by analyzing high-volume SKU data, ensuring optimal stock levels while reducing carrying costs by 15%.</w:t>
        <w:br/>
      </w:r>
    </w:p>
    <w:p>
      <w:r>
        <w:rPr>
          <w:rFonts w:ascii="Times New Roman" w:hAnsi="Times New Roman"/>
          <w:sz w:val="20"/>
        </w:rPr>
        <w:br/>
        <w:t>• Developed automated supply chain dashboards in Power BI to monitor OTIF (On-Time In-Full) performance and identify real-time inventory bottlenecks across regional distribution hubs.</w:t>
        <w:br/>
      </w:r>
    </w:p>
    <w:p>
      <w:r>
        <w:rPr>
          <w:rFonts w:ascii="Times New Roman" w:hAnsi="Times New Roman"/>
          <w:sz w:val="20"/>
        </w:rPr>
        <w:br/>
        <w:t>• Engineered safety stock modeling and forecasting algorithms using Python to align inventory strategy with fluctuating consumer demand patterns in high-growth retail environments.</w:t>
        <w:br/>
      </w:r>
    </w:p>
    <w:p>
      <w:r>
        <w:rPr>
          <w:rFonts w:ascii="Times New Roman" w:hAnsi="Times New Roman"/>
          <w:sz w:val="20"/>
        </w:rPr>
        <w:br/>
        <w:t>• Collaborated with cross-functional logistics and operations teams to integrate multi-source data into unified schemas, improving visibility into large-scale inventory movement and warehouse capacity.</w:t>
        <w:br/>
      </w:r>
    </w:p>
    <w:p>
      <w:r>
        <w:rPr>
          <w:rFonts w:ascii="Times New Roman" w:hAnsi="Times New Roman"/>
          <w:sz w:val="20"/>
        </w:rPr>
        <w:br/>
        <w:t>• Leveraged time-series analysis to predict seasonal demand shifts, informing proactive replenishment strategies that improved product availability and service delivery consistency.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