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Spearheaded the development of performance monitoring systems for academic and operational stakeholders, translating complex data into actionable insights to drive student achievement and organizational growth.</w:t>
        <w:br/>
      </w:r>
    </w:p>
    <w:p>
      <w:r>
        <w:rPr>
          <w:rFonts w:ascii="Times New Roman" w:hAnsi="Times New Roman"/>
          <w:sz w:val="20"/>
        </w:rPr>
        <w:br/>
        <w:t>• Led assessment data management initiatives, ensuring rigorous testing security, compliance, and training support to maintain data integrity across school-wide reporting cycles.</w:t>
        <w:br/>
      </w:r>
    </w:p>
    <w:p>
      <w:r>
        <w:rPr>
          <w:rFonts w:ascii="Times New Roman" w:hAnsi="Times New Roman"/>
          <w:sz w:val="20"/>
        </w:rPr>
        <w:br/>
        <w:t>• Cultivated a mission-driven culture by delivering compelling presentations to senior leadership, leveraging data storytelling to ensure organizational alignment and transparent stakeholder communication.</w:t>
        <w:br/>
      </w:r>
    </w:p>
    <w:p>
      <w:r>
        <w:rPr>
          <w:rFonts w:ascii="Times New Roman" w:hAnsi="Times New Roman"/>
          <w:sz w:val="20"/>
        </w:rPr>
        <w:br/>
        <w:t>• Optimized multi-priority workflows by balancing technical system design with strategic cross-departmental coordination, ensuring high-stakes projects met deadlines through proactive problem-solving.</w:t>
        <w:br/>
      </w:r>
    </w:p>
    <w:p>
      <w:r>
        <w:rPr>
          <w:rFonts w:ascii="Times New Roman" w:hAnsi="Times New Roman"/>
          <w:sz w:val="20"/>
        </w:rPr>
        <w:br/>
        <w:t>• Mentored team members on data processes and documentation, modeling high standards of emotional intelligence and accountability to foster a collaborative, solutions-oriented work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