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Created time series and scenario analysis models to identify high-value customer segments, applying quantitative modeling techniques to drive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Built complex SQL data models and ETL pipelines, effectively performing the role of an analyst tasked with gathering and centralizing disparate data sources for robust performance reporting.</w:t>
        <w:br/>
      </w:r>
    </w:p>
    <w:p>
      <w:r>
        <w:rPr>
          <w:rFonts w:ascii="Times New Roman" w:hAnsi="Times New Roman"/>
          <w:sz w:val="20"/>
        </w:rPr>
        <w:br/>
        <w:t>• Developed automated reporting layers in Power BI, analogous to settlement models, to evaluate performance against forecasts and visualize complex business KPIs.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disparate data sources from APIs and databases into a unified schema, mirroring the data centralization requirements of an ETRM system environment.</w:t>
        <w:br/>
      </w:r>
    </w:p>
    <w:p>
      <w:r>
        <w:rPr>
          <w:rFonts w:ascii="Times New Roman" w:hAnsi="Times New Roman"/>
          <w:sz w:val="20"/>
        </w:rPr>
        <w:br/>
        <w:t>• Utilized Python and SQL to analyze large-scale loan portfolios, applying quantitative valuation logic to assess risk and inform asset management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