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to analyze complex financial datasets, applying financial modeling techniques to reconcile testing data and improve accuracy by 60%.</w:t>
        <w:br/>
      </w:r>
    </w:p>
    <w:p>
      <w:r>
        <w:rPr>
          <w:rFonts w:ascii="Times New Roman" w:hAnsi="Times New Roman"/>
          <w:sz w:val="20"/>
        </w:rPr>
        <w:br/>
        <w:t>• Developed automated reporting workflows to facilitate investment risk oversight, streamlining data processing for equities, fixed income, and alternative asset classes.</w:t>
        <w:br/>
      </w:r>
    </w:p>
    <w:p>
      <w:r>
        <w:rPr>
          <w:rFonts w:ascii="Times New Roman" w:hAnsi="Times New Roman"/>
          <w:sz w:val="20"/>
        </w:rPr>
        <w:br/>
        <w:t>• Drafted technical reports and visual presentations for leadership, effectively translating complex data trends into actionable insights regarding market performance and risk.</w:t>
        <w:br/>
      </w:r>
    </w:p>
    <w:p>
      <w:r>
        <w:rPr>
          <w:rFonts w:ascii="Times New Roman" w:hAnsi="Times New Roman"/>
          <w:sz w:val="20"/>
        </w:rPr>
        <w:br/>
        <w:t>• Utilized Python and Excel to perform ad-hoc analysis on market events, providing stakeholders with clear, data-driven responses to client-specific risk inquiries.</w:t>
        <w:br/>
      </w:r>
    </w:p>
    <w:p>
      <w:r>
        <w:rPr>
          <w:rFonts w:ascii="Times New Roman" w:hAnsi="Times New Roman"/>
          <w:sz w:val="20"/>
        </w:rPr>
        <w:br/>
        <w:t>• Built and maintained interactive dashboards in Tableau to monitor key performance indicators, incorporating market data and financial product analysis to support portfolio decision-making.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