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clean and reconcile financial datasets, ensuring high data integrity for regulatory reporting and internal audit compliance.</w:t>
        <w:br/>
      </w:r>
    </w:p>
    <w:p>
      <w:r>
        <w:rPr>
          <w:rFonts w:ascii="Times New Roman" w:hAnsi="Times New Roman"/>
          <w:sz w:val="20"/>
        </w:rPr>
        <w:br/>
        <w:t>• Collaborated on financial data projects by utilizing Python to automate data collection, effectively mirroring the workflow of external market data providers like Bloomberg or Reuters.</w:t>
        <w:br/>
      </w:r>
    </w:p>
    <w:p>
      <w:r>
        <w:rPr>
          <w:rFonts w:ascii="Times New Roman" w:hAnsi="Times New Roman"/>
          <w:sz w:val="20"/>
        </w:rPr>
        <w:br/>
        <w:t>• Developed automated reporting flows for client portfolios, including calculating post-trade performance attribution and summarizing transaction metrics to support client-facing investment reviews.</w:t>
        <w:br/>
      </w:r>
    </w:p>
    <w:p>
      <w:r>
        <w:rPr>
          <w:rFonts w:ascii="Times New Roman" w:hAnsi="Times New Roman"/>
          <w:sz w:val="20"/>
        </w:rPr>
        <w:br/>
        <w:t>• Designed and executed complex data analysis to perform Transaction Cost Analysis (TCA), evaluating execution efficiency and providing actionable insights to refine trading strategies.</w:t>
        <w:br/>
      </w:r>
    </w:p>
    <w:p>
      <w:r>
        <w:rPr>
          <w:rFonts w:ascii="Times New Roman" w:hAnsi="Times New Roman"/>
          <w:sz w:val="20"/>
        </w:rPr>
        <w:br/>
        <w:t>• Implemented automated client reporting pipelines that translated raw transaction activity into executive-ready dashboards, reducing manual collation time while ensuring accurate, timely regulatory disclosures.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