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utilizing Python and SQL within cloud environments, drawing parallels to Medallion architecture principles by structuring data into raw, refined, and curated layers to ensure high-quality consumption.</w:t>
        <w:br/>
      </w:r>
    </w:p>
    <w:p>
      <w:r>
        <w:rPr>
          <w:rFonts w:ascii="Times New Roman" w:hAnsi="Times New Roman"/>
          <w:sz w:val="20"/>
        </w:rPr>
        <w:br/>
        <w:t>• Developed robust ETL/ELT workflows using Python and dbt, leveraging modular design and automated testing to handle schema evolution and ensure data consistency, mirroring Azure Data Factory and Databricks logic.</w:t>
        <w:br/>
      </w:r>
    </w:p>
    <w:p>
      <w:r>
        <w:rPr>
          <w:rFonts w:ascii="Times New Roman" w:hAnsi="Times New Roman"/>
          <w:sz w:val="20"/>
        </w:rPr>
        <w:br/>
        <w:t>• Applied rigorous data validation and security protocols throughout the development lifecycle, maintaining strict adherence to data governance standards and sensitive data handling practices equivalent to HIPAA compliance.</w:t>
        <w:br/>
      </w:r>
    </w:p>
    <w:p>
      <w:r>
        <w:rPr>
          <w:rFonts w:ascii="Times New Roman" w:hAnsi="Times New Roman"/>
          <w:sz w:val="20"/>
        </w:rPr>
        <w:br/>
        <w:t>• Optimized SQL performance by developing and maintaining complex stored procedures and indexing strategies, effectively reducing query latency and resolving performance bottlenecks in large-scale datasets.</w:t>
        <w:br/>
      </w:r>
    </w:p>
    <w:p>
      <w:r>
        <w:rPr>
          <w:rFonts w:ascii="Times New Roman" w:hAnsi="Times New Roman"/>
          <w:sz w:val="20"/>
        </w:rPr>
        <w:br/>
        <w:t>• Collaborated on cross-functional initiatives to integrate disparate data sources, gaining exposure to enterprise CRM and ERP systems while refining data models to support complex business reporting and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