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stakeholders at Haven Technologies to architect financial data workflows, specifically translating complex private credit and asset management requirements into scalable backend features.</w:t>
        <w:br/>
      </w:r>
    </w:p>
    <w:p>
      <w:r>
        <w:rPr>
          <w:rFonts w:ascii="Times New Roman" w:hAnsi="Times New Roman"/>
          <w:sz w:val="20"/>
        </w:rPr>
        <w:br/>
        <w:t>• Architected and deployed a modular data pipeline using Python, demonstrating 0→1 development capability by transitioning a manual legacy spreadsheet process into an automated, high-throughput cloud data platform.</w:t>
        <w:br/>
      </w:r>
    </w:p>
    <w:p>
      <w:r>
        <w:rPr>
          <w:rFonts w:ascii="Times New Roman" w:hAnsi="Times New Roman"/>
          <w:sz w:val="20"/>
        </w:rPr>
        <w:br/>
        <w:t>• Engineered a RAG-based proof-of-concept utilizing Python and LLM integrations to automate the parsing and classification of unstructured investment documents, significantly reducing manual data extraction time.</w:t>
        <w:br/>
      </w:r>
    </w:p>
    <w:p>
      <w:r>
        <w:rPr>
          <w:rFonts w:ascii="Times New Roman" w:hAnsi="Times New Roman"/>
          <w:sz w:val="20"/>
        </w:rPr>
        <w:br/>
        <w:t>• Led the end-to-end development of a CI/CD-integrated backend system for an internal fintech application, ensuring high data integrity and synchronization across complex relational databases.</w:t>
        <w:br/>
      </w:r>
    </w:p>
    <w:p>
      <w:r>
        <w:rPr>
          <w:rFonts w:ascii="Times New Roman" w:hAnsi="Times New Roman"/>
          <w:sz w:val="20"/>
        </w:rPr>
        <w:br/>
        <w:t>• Built and maintained robust data infrastructure for high-stakes environments, consistently optimizing for performance and scalability to support real-time investment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