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Serve as the primary gatekeeper and liaison for the President and COO, exercising high emotional intelligence to manage stakeholder communication and tailor executive support to distinct leadership styles.</w:t>
        <w:br/>
      </w:r>
    </w:p>
    <w:p>
      <w:r>
        <w:rPr>
          <w:rFonts w:ascii="Times New Roman" w:hAnsi="Times New Roman"/>
          <w:sz w:val="20"/>
        </w:rPr>
        <w:br/>
        <w:t>• Act as a strategic partner to leadership by proactively identifying operational bottlenecks, utilizing startup-style adaptability to pivot resources in high-growth, fast-paced environments.</w:t>
        <w:br/>
      </w:r>
    </w:p>
    <w:p>
      <w:r>
        <w:rPr>
          <w:rFonts w:ascii="Times New Roman" w:hAnsi="Times New Roman"/>
          <w:sz w:val="20"/>
        </w:rPr>
        <w:br/>
        <w:t>• Coordinate complex end-to-end logistics for executive offsites and leadership summits, including domestic and international travel, high-security visa/passport requirements, and vendor negotiations.</w:t>
        <w:br/>
      </w:r>
    </w:p>
    <w:p>
      <w:r>
        <w:rPr>
          <w:rFonts w:ascii="Times New Roman" w:hAnsi="Times New Roman"/>
          <w:sz w:val="20"/>
        </w:rPr>
        <w:br/>
        <w:t>• Support leadership initiatives by acting as a high-level liaison between internal teams and external stakeholders, ensuring consistent communication flow and gatekeeping for sensitive information.</w:t>
        <w:br/>
      </w:r>
    </w:p>
    <w:p>
      <w:r>
        <w:rPr>
          <w:rFonts w:ascii="Times New Roman" w:hAnsi="Times New Roman"/>
          <w:sz w:val="20"/>
        </w:rPr>
        <w:br/>
        <w:t>• Facilitate seamless operational transitions during company scaling by applying an 'all-hands' mindset to manage ad-hoc projects and shifting priorities inherent in high-growth tech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