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 global executive calendars, expertly navigating complex multi-time zone scheduling to synchronize meetings across domestic and international regions.</w:t>
        <w:br/>
      </w:r>
    </w:p>
    <w:p>
      <w:r>
        <w:rPr>
          <w:rFonts w:ascii="Times New Roman" w:hAnsi="Times New Roman"/>
          <w:sz w:val="20"/>
        </w:rPr>
        <w:br/>
        <w:t>• Act as a strategic thought partner to the C-Suite, utilizing AI-driven tools like ChatGPT and Microsoft Copilot to distill complex data into actionable insights and streamline administrative workflows.</w:t>
        <w:br/>
      </w:r>
    </w:p>
    <w:p>
      <w:r>
        <w:rPr>
          <w:rFonts w:ascii="Times New Roman" w:hAnsi="Times New Roman"/>
          <w:sz w:val="20"/>
        </w:rPr>
        <w:br/>
        <w:t>• Establish robust systems for tracking commitments and follow-ups, ensuring executive accountability and momentum on key projects and strategic initiatives.</w:t>
        <w:br/>
      </w:r>
    </w:p>
    <w:p>
      <w:r>
        <w:rPr>
          <w:rFonts w:ascii="Times New Roman" w:hAnsi="Times New Roman"/>
          <w:sz w:val="20"/>
        </w:rPr>
        <w:br/>
        <w:t>• Serve as the primary stakeholder liaison, utilizing high emotional intelligence to navigate sensitive interactions and build trusted relationships with cross-functional teams and external partners.</w:t>
        <w:br/>
      </w:r>
    </w:p>
    <w:p>
      <w:r>
        <w:rPr>
          <w:rFonts w:ascii="Times New Roman" w:hAnsi="Times New Roman"/>
          <w:sz w:val="20"/>
        </w:rPr>
        <w:br/>
        <w:t>• Implement proactive executive support strategies by anticipating needs and leveraging process automation to remove friction, ensuring seamless operations amid constant motion.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