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customer churn and lifetime value using Python (Scikit-learn) and integrated these insights into production-ready automated reporting pipelines.</w:t>
        <w:br/>
      </w:r>
    </w:p>
    <w:p>
      <w:r>
        <w:rPr>
          <w:rFonts w:ascii="Times New Roman" w:hAnsi="Times New Roman"/>
          <w:sz w:val="20"/>
        </w:rPr>
        <w:br/>
        <w:t>• Engineered advanced features for machine learning pipelines by cleaning and transforming large, unstructured datasets in BigQuery, leveraging GCP best practices to ensure data quality.</w:t>
        <w:br/>
      </w:r>
    </w:p>
    <w:p>
      <w:r>
        <w:rPr>
          <w:rFonts w:ascii="Times New Roman" w:hAnsi="Times New Roman"/>
          <w:sz w:val="20"/>
        </w:rPr>
        <w:br/>
        <w:t>• Designed and conducted A/B testing on marketing campaigns to validate hypotheses, utilizing statistical analysis to optimize customer acquisition strategies and drive incremental revenue.</w:t>
        <w:br/>
      </w:r>
    </w:p>
    <w:p>
      <w:r>
        <w:rPr>
          <w:rFonts w:ascii="Times New Roman" w:hAnsi="Times New Roman"/>
          <w:sz w:val="20"/>
        </w:rPr>
        <w:br/>
        <w:t>• Integrated Google Workspace tools and Generative AI (including NotebookLM) to synthesize marketing intelligence and automate cross-functional communication workflows.</w:t>
        <w:br/>
      </w:r>
    </w:p>
    <w:p>
      <w:r>
        <w:rPr>
          <w:rFonts w:ascii="Times New Roman" w:hAnsi="Times New Roman"/>
          <w:sz w:val="20"/>
        </w:rPr>
        <w:br/>
        <w:t>• Applied foundational machine learning techniques to identify high-value customer segments and anomalies, facilitating data-driven decision-making for executive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