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Standardized organizational KPIs, model governance frameworks, and data controls to ensure regulatory alignment with SR 11-7 and OCC 11-12 standards, resulting in a single source of truth for all business stakeholders.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define model lifecycle processes—from development to validation and retirement—while drafting functional specifications and acceptance criteria for automated monitoring scripts.</w:t>
        <w:br/>
      </w:r>
    </w:p>
    <w:p>
      <w:r>
        <w:rPr>
          <w:rFonts w:ascii="Times New Roman" w:hAnsi="Times New Roman"/>
          <w:sz w:val="20"/>
        </w:rPr>
        <w:br/>
        <w:t>• Engineered Python-based validation scripts and automated data quality checks (using Great Expectations) to support internal model risk management (MRM) and issue management workflows.</w:t>
        <w:br/>
      </w:r>
    </w:p>
    <w:p>
      <w:r>
        <w:rPr>
          <w:rFonts w:ascii="Times New Roman" w:hAnsi="Times New Roman"/>
          <w:sz w:val="20"/>
        </w:rPr>
        <w:br/>
        <w:t>• Partnered with data science teams to document and translate model requirements into BRDs and system logic, ensuring compliance with enterprise-wide data governance and model inventory standards.</w:t>
        <w:br/>
      </w:r>
    </w:p>
    <w:p>
      <w:r>
        <w:rPr>
          <w:rFonts w:ascii="Times New Roman" w:hAnsi="Times New Roman"/>
          <w:sz w:val="20"/>
        </w:rPr>
        <w:br/>
        <w:t>• Optimized SQL query performance and data lineage tracking for model documentation, facilitating improved interpretability and explainability for complex financial datasets.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