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campaigns, applying rigorous statistical significance testing to validate audience response and provide actionable insights for desk-level strategy.</w:t>
        <w:br/>
      </w:r>
    </w:p>
    <w:p>
      <w:r>
        <w:rPr>
          <w:rFonts w:ascii="Times New Roman" w:hAnsi="Times New Roman"/>
          <w:sz w:val="20"/>
        </w:rPr>
        <w:br/>
        <w:t>• Conducted empirical research on large datasets to analyze customer behavioral patterns, mirroring the analytical rigor required for client performance and market-making research.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complex technical research findings into clear, concise reports for senior leadership, ensuring data-driven recommendations were adopted.</w:t>
        <w:br/>
      </w:r>
    </w:p>
    <w:p>
      <w:r>
        <w:rPr>
          <w:rFonts w:ascii="Times New Roman" w:hAnsi="Times New Roman"/>
          <w:sz w:val="20"/>
        </w:rPr>
        <w:br/>
        <w:t>• Leveraged Python and Pandas to extract and analyze high-volume financial and operations data, identifying anomalies and growth opportunities similar to trading desk research workflows.</w:t>
        <w:br/>
      </w:r>
    </w:p>
    <w:p>
      <w:r>
        <w:rPr>
          <w:rFonts w:ascii="Times New Roman" w:hAnsi="Times New Roman"/>
          <w:sz w:val="20"/>
        </w:rPr>
        <w:br/>
        <w:t>• Applied sound research design principles to standardize organizational KPIs, ensuring all findings presented to stakeholders were accurate, reproducible, and unbiased.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