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statistical models for customer segmentation, incorporating advanced clustering techniques to identify high-value segments and inform targeted marketing initiatives, which contributed to a 300% increase in revenue.</w:t>
        <w:br/>
      </w:r>
    </w:p>
    <w:p>
      <w:r>
        <w:rPr>
          <w:rFonts w:ascii="Times New Roman" w:hAnsi="Times New Roman"/>
          <w:sz w:val="20"/>
        </w:rPr>
        <w:br/>
        <w:t>• Applied cutting-edge explainability techniques to complex statistical models, providing clear insights into model drivers and enabling better understanding of credit outcome forecasting.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statistical evidence for optimizing marketing spend and demonstrating expertise in model validation.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reports, ingesting and transforming data from POS and CRM systems using ETL/ELT principles, saving 8 hours per week and improving reporting accuracy.</w:t>
        <w:br/>
      </w:r>
    </w:p>
    <w:p>
      <w:r>
        <w:rPr>
          <w:rFonts w:ascii="Times New Roman" w:hAnsi="Times New Roman"/>
          <w:sz w:val="20"/>
        </w:rPr>
        <w:br/>
        <w:t>• Collaborated with product managers and a cross-functional team to align software features with business objectives, streamlining the development workflow and reducing delivery delays by 25%, while integrating multiple datasets from APIs and PostgreSQL warehouses to support robust downstream analytics.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