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data engineering workflows by utilizing AWS (S3, Redshift) to facilitate scalable cloud storage and integration for large-scale analytics projects.</w:t>
        <w:br/>
      </w:r>
    </w:p>
    <w:p>
      <w:r>
        <w:rPr>
          <w:rFonts w:ascii="Times New Roman" w:hAnsi="Times New Roman"/>
          <w:sz w:val="20"/>
        </w:rPr>
        <w:br/>
        <w:t>• Engineered predictive models using Python, applying rigorous validation techniques such as calculating confusion matrices and ROC curves to measure classification model efficacy.</w:t>
        <w:br/>
      </w:r>
    </w:p>
    <w:p>
      <w:r>
        <w:rPr>
          <w:rFonts w:ascii="Times New Roman" w:hAnsi="Times New Roman"/>
          <w:sz w:val="20"/>
        </w:rPr>
        <w:br/>
        <w:t>• Applied advanced machine learning techniques, including clustering and feature engineering, to transform raw data into actionable insights for high-value customer segmentation.</w:t>
        <w:br/>
      </w:r>
    </w:p>
    <w:p>
      <w:r>
        <w:rPr>
          <w:rFonts w:ascii="Times New Roman" w:hAnsi="Times New Roman"/>
          <w:sz w:val="20"/>
        </w:rPr>
        <w:br/>
        <w:t>• Leveraged transformer-based NLP concepts and deep learning principles to interpret unstructured data, driving improvements in data accuracy and sentiment analysis for lending risk portfolios.</w:t>
        <w:br/>
      </w:r>
    </w:p>
    <w:p>
      <w:r>
        <w:rPr>
          <w:rFonts w:ascii="Times New Roman" w:hAnsi="Times New Roman"/>
          <w:sz w:val="20"/>
        </w:rPr>
        <w:br/>
        <w:t>• Built and optimized SQL-based data pipelines, integrating distributed processing concepts to handle high-volume data sets similar to Apache Spark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