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eliminating repetitive data entry, saving 8 hours per week, and improving reporting accuracy for faster strategic decisions, while adhering to CI/CD best practices for deployment.</w:t>
        <w:br/>
      </w:r>
    </w:p>
    <w:p>
      <w:r>
        <w:rPr>
          <w:rFonts w:ascii="Times New Roman" w:hAnsi="Times New Roman"/>
          <w:sz w:val="20"/>
        </w:rPr>
        <w:br/>
        <w:t>• Developed statistical models to identify high-value customer segments; targeted marketing initiatives informed by these models contributed to a 300% increase in revenue in the targeted segment over 12 months, leveraging advanced classification techniques.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spend, and validating model performance using ROC curves.</w:t>
        <w:br/>
      </w:r>
    </w:p>
    <w:p>
      <w:r>
        <w:rPr>
          <w:rFonts w:ascii="Times New Roman" w:hAnsi="Times New Roman"/>
          <w:sz w:val="20"/>
        </w:rPr>
        <w:br/>
        <w:t>• Integrated multiple datasets from APIs and PostgreSQL warehouses to build structured data, supporting more robust downstream analytics and reporting, and employing techniques for feature engineering on transactional data.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 to optimize query performance, greatly lowering load times through BigQuery partitioning and clustering, a process that included robust data quality validation using Great Expectations.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