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Engineered and validated classification models to predict default risk, utilizing ROC curves and confusion matrices to assess performance and ensure robust model validation.</w:t>
        <w:br/>
      </w:r>
    </w:p>
    <w:p>
      <w:r>
        <w:rPr>
          <w:rFonts w:ascii="Times New Roman" w:hAnsi="Times New Roman"/>
          <w:sz w:val="20"/>
        </w:rPr>
        <w:br/>
        <w:t>• Developed and deployed machine learning pipelines on AWS, leveraging Spark for large-scale data processing and model deployment to optimize credit risk assessment.</w:t>
        <w:br/>
      </w:r>
    </w:p>
    <w:p>
      <w:r>
        <w:rPr>
          <w:rFonts w:ascii="Times New Roman" w:hAnsi="Times New Roman"/>
          <w:sz w:val="20"/>
        </w:rPr>
        <w:br/>
        <w:t>• Implemented advanced clustering techniques for customer segmentation, utilizing neural networks and tree-based methods to identify complex patterns within high-dimensional datasets.</w:t>
        <w:br/>
      </w:r>
    </w:p>
    <w:p>
      <w:r>
        <w:rPr>
          <w:rFonts w:ascii="Times New Roman" w:hAnsi="Times New Roman"/>
          <w:sz w:val="20"/>
        </w:rPr>
        <w:br/>
        <w:t>• Led independent model challenger development by applying graph methods to analyze transaction sequences, directly identifying potential fraudulent behavior patterns.</w:t>
        <w:br/>
      </w:r>
    </w:p>
    <w:p>
      <w:r>
        <w:rPr>
          <w:rFonts w:ascii="Times New Roman" w:hAnsi="Times New Roman"/>
          <w:sz w:val="20"/>
        </w:rPr>
        <w:br/>
        <w:t>• Automated model lifecycle management by integrating Git-based version control into a CI/CD pipeline, ensuring seamless deployment and documentation of predictive models.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