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and deployed machine learning classification models to predict credit risk, utilizing Scikit-Learn to automate the assessment of loan portfolio default probabilities.</w:t>
        <w:br/>
      </w:r>
    </w:p>
    <w:p>
      <w:r>
        <w:rPr>
          <w:rFonts w:ascii="Times New Roman" w:hAnsi="Times New Roman"/>
          <w:sz w:val="20"/>
        </w:rPr>
        <w:br/>
        <w:t>• Architected and deployed cloud-based data pipelines on AWS (S3/EC2), managing the full lifecycle of large-scale datasets from ingestion to ML model inference.</w:t>
        <w:br/>
      </w:r>
    </w:p>
    <w:p>
      <w:r>
        <w:rPr>
          <w:rFonts w:ascii="Times New Roman" w:hAnsi="Times New Roman"/>
          <w:sz w:val="20"/>
        </w:rPr>
        <w:br/>
        <w:t>• Led cross-functional project pods, providing technical mentorship to junior analysts and delegating tasks to ensure efficient execution of complex data modeling sprints.</w:t>
        <w:br/>
      </w:r>
    </w:p>
    <w:p>
      <w:r>
        <w:rPr>
          <w:rFonts w:ascii="Times New Roman" w:hAnsi="Times New Roman"/>
          <w:sz w:val="20"/>
        </w:rPr>
        <w:br/>
        <w:t>• Performed large-scale feature engineering on 2M+ row datasets to train predictive models, significantly enhancing the accuracy of loan default risk identification.</w:t>
        <w:br/>
      </w:r>
    </w:p>
    <w:p>
      <w:r>
        <w:rPr>
          <w:rFonts w:ascii="Times New Roman" w:hAnsi="Times New Roman"/>
          <w:sz w:val="20"/>
        </w:rPr>
        <w:br/>
        <w:t>• Developed robust MLOps workflows to automate model retraining and validation, ensuring high-performance standards for real-time credit decisioning tools.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