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managed program budgets and financial forecasts using Power BI and Excel, performing variance analysis to track actuals vs. planned spend and improve cost control accuracy.</w:t>
        <w:br/>
      </w:r>
    </w:p>
    <w:p>
      <w:r>
        <w:rPr>
          <w:rFonts w:ascii="Times New Roman" w:hAnsi="Times New Roman"/>
          <w:sz w:val="20"/>
        </w:rPr>
        <w:br/>
        <w:t>• Led monthly cost reporting and accruals processes for operations, ensuring data integrity and audit readiness by maintaining meticulous documentation of all project expenditures.</w:t>
        <w:br/>
      </w:r>
    </w:p>
    <w:p>
      <w:r>
        <w:rPr>
          <w:rFonts w:ascii="Times New Roman" w:hAnsi="Times New Roman"/>
          <w:sz w:val="20"/>
        </w:rPr>
        <w:br/>
        <w:t>• Streamlined project controls by integrating disparate data sources into a unified reporting framework, supporting financial transparency and long-term planning within complex project workstreams.</w:t>
        <w:br/>
      </w:r>
    </w:p>
    <w:p>
      <w:r>
        <w:rPr>
          <w:rFonts w:ascii="Times New Roman" w:hAnsi="Times New Roman"/>
          <w:sz w:val="20"/>
        </w:rPr>
        <w:br/>
        <w:t>• Applied data modeling techniques to evaluate energy efficiency program performance, identifying cost-saving opportunities and providing actionable insights for executive-level decision-making.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align project deliverables with operational KPIs, ensuring that financial tracking and reporting methodologies met rigorous organizational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