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time series models to forecast labor demand and customer traffic, enabling intraday adjustments that optimized staffing levels and reduced operational bottlenecks by 25%.</w:t>
        <w:br/>
      </w:r>
    </w:p>
    <w:p>
      <w:r>
        <w:rPr>
          <w:rFonts w:ascii="Times New Roman" w:hAnsi="Times New Roman"/>
          <w:sz w:val="20"/>
        </w:rPr>
        <w:br/>
        <w:t>• Partnered with cross-functional stakeholders to manage Workforce Management (WFM) scheduling workflows, streamlining data-driven decision-making for boutique staffing requirements.</w:t>
        <w:br/>
      </w:r>
    </w:p>
    <w:p>
      <w:r>
        <w:rPr>
          <w:rFonts w:ascii="Times New Roman" w:hAnsi="Times New Roman"/>
          <w:sz w:val="20"/>
        </w:rPr>
        <w:br/>
        <w:t>• Led vendor collaboration initiatives to audit and improve system configuration, ensuring WFM tools accurately captured performance data and aligned with operational goals.</w:t>
        <w:br/>
      </w:r>
    </w:p>
    <w:p>
      <w:r>
        <w:rPr>
          <w:rFonts w:ascii="Times New Roman" w:hAnsi="Times New Roman"/>
          <w:sz w:val="20"/>
        </w:rPr>
        <w:br/>
        <w:t>• Analyzed real-time performance against forecasted labor demand to identify staffing variances, providing actionable insights for executive leadership to enhance resource allocation.</w:t>
        <w:br/>
      </w:r>
    </w:p>
    <w:p>
      <w:r>
        <w:rPr>
          <w:rFonts w:ascii="Times New Roman" w:hAnsi="Times New Roman"/>
          <w:sz w:val="20"/>
        </w:rPr>
        <w:br/>
        <w:t>• Documented and maintained standardized WFM system processes and SOPs, facilitating root cause analysis for system concerns and improving cross-departmental alignment.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